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 NÖBETÇİ AİLE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 Şeref BALTACI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[Davalı Adı Soyadı] (T.C. Kimlik No: [TCKN])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Adres Bilgisi]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4721 Sayılı Türk Medeni Kanunu'nun 166/3. maddesi uyarınca tarafların anlaşmalı olarak boşanmalarına ve ekte sunulan protokolün mahkemenizce onaylanmasına karar verilmesi talebimizdir.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[Davacı Adı Soyadı] ile davalı [Davalı Adı Soyadı], [Evlilik Tarihi] tarihinden bu yana evlidirler. Bu evlilikten [Müşterek Çocuk Sayısı ve İsimleri / müşterek çocukları bulunmamaktadır].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Taraflar arasında bir süredir devam eden şiddetli geçimsizlik ve fikir ayrılıkları, evlilik birliğinin devamını imkânsız hale getirmiştir. Evlilik birliği temelinden sarsılmış olup, tarafların bir araya gelerek ortak hayatı sürdürmeleri ve evlilik birliğini sevgi ve saygı çerçevesinde devam ettirmeleri kendilerinden beklenemeyecek bir duruma gelmiştir.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Taraflar, evlilik birliğini medeni ölçüler çerçevesinde ve karşılıklı anlaşarak sona erdirmeye karar vermişlerdir. Bu amaçla, boşanmanın mali sonuçları olan nafaka, maddi-manevi tazminat, mal rejiminin tasfiyesi ve varsa müşterek çocukların velayeti ile şahsi münasebet konularında tam bir mutabakata vararak, ekte sunulan [Protokol Tarihi] tarihli "Anlaşmalı Boşanma Protokolü"nü birlikte imza altına almışlardır.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Tarafların boşanma iradeleri kesin ve süreklidir. 4721 sayılı Türk Medeni Kanunu'nun 166/3. maddesinde belirtilen bir yıllık yasal süre dolmuş olup, anlaşmalı boşanma için aranan kanuni şartlar oluşmuştur.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Açıklanan nedenlerle, tarafların serbest iradeleriyle imzaladıkları işbu protokolün Sayın Mahkemenizce onaylanarak, TMK m. 166/3 hükümleri uyarınca tarafların anlaşmalı olarak boşanmalarına karar verilmesini talep etme zorunluluğu hasıl olmuştur.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4721 Sayılı Türk Medeni Kanunu m. 166/3, 6100 Sayılı Hukuk Muhakemeleri Kanunu ve ilgili sair yasal mevzuat.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1. Nüfus kayıt örneği (Celbi talep olunur),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[Protokol Tarihi] tarihli ıslak imzalı Anlaşmalı Boşanma Protokolü,</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Sair her türlü yasal delil.</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resen dikkate alınacak nedenlerle;</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Tarafların 4721 Sayılı Türk Medeni Kanunu'nun 166/3. maddesi uyarınca ANLAŞMALI OLARAK BOŞANMALARINA,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Ekte sunulan [Protokol Tarihi] tarihli Anlaşmalı Boşanma Protokolü'nün Mahkemenizce AYNEN ONAYLANMASINA ve kararın eki sayılmasına,</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ve vekalet ücretinin taraflar arasındaki protokol hükümleri çerçevesinde tarafımızda bırakılmasına,</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saygıyla arz ve talep ederiz. [Dilekçe Tarihi]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Şeref BALTACI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[Protokol Tarihi] tarihli Anlaşmalı Boşanma Protokolü</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b w:val="1"/>
          <w:bCs w:val="1"/>
          <w:color w:val="1f1f1f"/>
          <w:rtl w:val="0"/>
        </w:rPr>
        <w:t xml:space="preserve">ANLAŞMALI BOŞANMA PROTOKOLÜ</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TARAFLAR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[Birinci Eşin Adı Soyadı] (T.C. Kimlik No: [TCKN])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Adres: [Adres Bilgisi]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[İkinci Eşin Adı Soyadı] (T.C. Kimlik No: [TCKN])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Adres: [Adres Bilgisi]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Tarafların 4721 Sayılı Türk Medeni Kanunu'nun 166/3. maddesi uyarınca karşılıklı anlaşma suretiyle boşanmalarına ve boşanmanın mali sonuçları ile müşterek çocukların (varsa) durumuna ilişkin şartların düzenlenmesidir.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MADDELER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BOŞANMA İRADESİ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 [Evlilik Tarihi] tarihinden bu yana evli olup, evlilik birliğinin temelinden sarsılması nedeniyle karşılıklı ve serbest iradeleriyle boşanmaya karar vermişlerdir. Taraflar, Kahramanmaraş Aile Mahkemesi nezdinde açılacak/açılmış olan anlaşmalı boşanma davasında bu protokolün mahkemece aynen onaylanarak boşanmalarına karar verilmesini kabul ve talep ederler.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VELAYET VE KİŞİSEL İLİŞKİ TAYİNİ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(Müşterek çocuk var ise:)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Tarafların evliliğinden dünyaya gelen [Çocuğun Doğum Tarihi] doğumlu [Çocuğun Adı Soyadı]’nın velayetinin [Anne/Baba]’ya verilmesi hususunda taraflar tam bir mutabakata varmışlardır. Velayet kendisine bırakılmayan [Anne/Baba] ile müşterek çocuk arasında; her ayın 1. ve 3. hafta sonları Cumartesi günü saat 10:00’dan Pazar günü saat 17:00’ye kadar, dini bayramların 2. ve 3. günleri ile her yıl yaz tatilinde 1 Temmuz - 31 Temmuz tarihleri arasında yatılı olacak şekilde şahsi münasebet kurulacaktır.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(Müşterek çocuk yok ise:)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Tarafların bu evlilikten müşterek çocukları bulunmamaktadır.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NAFAKA TALEPLERİ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İştirak Nafakası:</w:t>
      </w:r>
      <w:r w:rsidDel="00000000" w:rsidR="00000000" w:rsidRPr="00000000">
        <w:rPr>
          <w:rFonts w:ascii="Google Sans" w:cs="Google Sans" w:eastAsia="Google Sans" w:hAnsi="Google Sans"/>
          <w:color w:val="1f1f1f"/>
          <w:rtl w:val="0"/>
        </w:rPr>
        <w:t xml:space="preserve"> Velayet kendisine bırakılmayan taraf, müşterek çocuğun bakım, eğitim ve giderlerine iştirak etmek amacıyla her ay [Miktar] TL iştirak nafakasını, her ayın [Gün] günü velayet hakkı sahibinin bildireceği banka hesabına yatıracaktır. Bu miktar her yıl TÜFE oranında artırılacaktır. </w:t>
      </w:r>
      <w:r w:rsidDel="00000000" w:rsidR="00000000" w:rsidRPr="00000000">
        <w:rPr>
          <w:rFonts w:ascii="Google Sans" w:cs="Google Sans" w:eastAsia="Google Sans" w:hAnsi="Google Sans"/>
          <w:i w:val="1"/>
          <w:iCs w:val="1"/>
          <w:color w:val="1f1f1f"/>
          <w:rtl w:val="0"/>
        </w:rPr>
        <w:t xml:space="preserve">(Çocuk yoksa: Tarafların birbirlerinden iştirak nafakası talebi bulunmamaktadır.)</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Yoksulluk Nafakası:</w:t>
      </w:r>
      <w:r w:rsidDel="00000000" w:rsidR="00000000" w:rsidRPr="00000000">
        <w:rPr>
          <w:rFonts w:ascii="Google Sans" w:cs="Google Sans" w:eastAsia="Google Sans" w:hAnsi="Google Sans"/>
          <w:color w:val="1f1f1f"/>
          <w:rtl w:val="0"/>
        </w:rPr>
        <w:t xml:space="preserve"> Tarafların birbirlerinden kendileri için tedbir ve yoksulluk nafakası talebi bulunmamaktadır. Bu husustaki haklarından ileriye dönük olarak gayrikabili rücu feragat etmişlerdir.</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MADDİ VE MANEVİ TAZMİNAT</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Tarafların boşanma nedeniyle birbirlerinden herhangi bir maddi veya manevi tazminat talebi bulunmamaktadır. Taraflar, tazminat hususunda birbirlerini ibra etmiş olup, geçmişe ve geleceğe yönelik tüm maddi ve manevi tazminat haklarından gayrikabili rücu feragat etmişlerdir.</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MAL REJİMİNİN TASFİYESİ VE KİŞİSEL EŞYALAR</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 evlilik birliği içinde edinilmiş olan menkul, gayrimenkul mallar ile banka hesapları, ziynet eşyaları ve diğer tüm malvarlığı değerlerinin paylaşımı hususunda tam bir mutabakata varmışlardır. Taraflar tüm eşyaları ve malvarlığını kendi aralarında fiilen paylaşmış olup, birbirlerinden katkı payı, katılma alacağı veya değer artış payı adı altında hiçbir hak ve alacak talepleri kalmamıştır. Taraflar, kişisel eşyalarını eksiksiz olarak teslim almışlardır. Mal rejiminin tasfiyesine ilişkin olarak birbirlerini gayrikabili rücu ibra etmişlerdir.</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(Özel mal paylaşımı var ise buraya yazılacaktır: Örn; [Plaka No] plakalı araç [Taraf Adı]’na bırakılmıştır.)</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6. YARGILAMA GİDERLERİ VE VEKALET ÜCRETİ</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anlaşmalı boşanma davası nedeniyle ortaya çıkacak harç ve mahkeme masrafları taraflarca eşit olarak / [Davacı-Davalı] tarafından karşılanacaktır. Tarafların birbirlerinden vekalet ücreti talebi bulunmamaktadır.</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7. SONUÇ VE İMZA</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protokol [Protokol Tarihi] tarihinde, tarafların serbest iradeleri ile hiçbir baskı altında kalmaksızın okunmuş, içeriği tamamen kabul edilerek 2 (iki) nüsha olarak imza altına alınmış ve boşanma dava dilekçesinin eki olarak mahkemeye sunulmasına karar verilmiştir.</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TARAF 1</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TARAF 2</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            [Adı Soyadı]</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                        [İmza]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