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ADLİYESİ ARABULUCULUK BÜROSU'NA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(KİRAYA VEREN / KİRACI)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Unvanınız] (TCKN/VKN: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Telefonu] / [Avukatın E-posta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KARŞI TARAF (KİRACI / KİRAYA VEREN):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 Adı Soyadı / Unvanı] (TCKN/VKN: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Telefonu / E-posta Adresi - Biliniyorsa]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 KONUSU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6325 sayılı Hukuk Uyuşmazlıklarında Arabuluculuk Kanunu'nun 18/B maddesi gereğince Dava Şartı (Zorunlu) Arabuluculuk başvurumuzdur.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UYUŞMAZLIK TÜRÜ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 Uyuşmazlığı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TALEPLERİMİZ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(Talep edilen kalemler bırakılmalıdır)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Kiralananın Tahliyesi (İhtiyaç, Temerrüt, Taahhüt, 10 Yıllık Süre vb. nedenlerle)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Kira Bedelinin Tespiti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Kira Bedelinin Uyarlanması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Ödenmeyen Kira Bedellerinin Tahsili (Kira Alacağı)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Aidat ve Ortak Gider Alacaklarının Tahsili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Hor Kullanma Tazminatı / Eski Hale Getirme Bedeli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Depozito (Güvence Bedeli) İadesi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Diğer Kira Hukuku Talepleriniz]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Başvurucu ile karşı taraf arasında, [Kiralananın Açık Adresi] adresinde bulunan taşınmaza ilişkin [Sözleşme Tarihi] başlangıç tarihli kira sözleşmesi bulunmaktadır.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taraf, sözleşmeden ve kanundan doğan yükümlülüklerini yerine getirmemiştir. [Örn: Kira bedelleri ödenmemiş ve temerrüt oluşmuştur / Bölgedeki emsal kira bedelleri artmış olup kira tespitine ihtiyaç doğmuştur / Geçerli tahliye taahhütnamesine rağmen taşınmaz boşaltılmamıştır].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arasındaki uyuşmazlığın haricen, sulh yoluyla çözümü mümkün olmamıştır.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01.09.2023 tarihinde yürürlüğe giren yasal düzenlemeler ve 6325 sayılı Kanun m. 18/B uyarınca, kiralananın tahliyesi, kira bedelinin tespiti, kira uyarlama ve diğer kira ilişkisinden kaynaklanan uyuşmazlıklarda dava açılmadan önce arabulucuya başvurulması zorunlu dava şartı olduğundan, işbu başvuruyu yapma zorunluluğu hasıl olmuştur.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kısaca arz ve izah edilen nedenlerle, karşı taraf ile aramızdaki kira ilişkisinden kaynaklanan uyuşmazlığın çözümü amacıyla Adliyeniz Arabuluculuk Bürosu sisteminden tarafımıza bir arabulucu atanmasını saygılarımla arz ve talep ederim. [Tarih]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/ Vekili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(Vekil varsa) Özel yetkiyi havi, onaylı ve baro pullu vekaletname sureti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Kira Sözleşmesi Sureti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(Varsa) İhtarname ve tebliğ şerhleri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(Varsa) Tahliye Taahhütnamesi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