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AİLE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[Davalı Adı Soyadı] (T.C. Kimlik No: [TCKN])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Adres Bilgisi]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w:t>
      </w:r>
      <w:r w:rsidDel="00000000" w:rsidR="00000000" w:rsidRPr="00000000">
        <w:rPr>
          <w:rFonts w:ascii="Google Sans" w:cs="Google Sans" w:eastAsia="Google Sans" w:hAnsi="Google Sans"/>
          <w:color w:val="1f1f1f"/>
          <w:rtl w:val="0"/>
        </w:rPr>
        <w:t xml:space="preserve"> [Harca Esas Değer / Örn: 10.000,00] TL (Belirsiz Alacak Davasıdır)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4721 Sayılı Türk Medeni Kanunu'nun 225. ve devamı maddeleri uyarınca mal rejiminin tasfiyesi ile müvekkilin edinilmiş mallara katılma alacağı, değer artış payı ve katkı payı alacaklarının (fazlaya ilişkin haklarımız saklı kalmak kaydıyla şimdilik [Miktar] TL kısmının) yasal faiziyle birlikte davalıdan tahsili ile tasfiyeye konu mallar üzerine üçüncü kişilere devrinin önlenmesi amacıyla ihtiyati tedbir konulması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EVLİLİK VE BOŞANMA DAVASINA İLİŞKİN BİLGİLER: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ile davalı, [Evlilik Tarihi] tarihinde evlenmişlerdir. Taraflar arasında [Mahkeme Adı] Mahkemesi'nin [Esas No] Esas sayılı dosyası ile boşanma davası açılmış olup, dava derdesttir / [Karar Tarihi] tarihinde kesinleşmiştir. 4721 Sayılı TMK m. 225/2 hükmü gereğince mal rejimi, boşanma davasının açıldığı [Boşanma Dava Tarihi] tarihi itibarıyla sona ermiştir.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TASFİYEYE KONU EDİNİLMİŞ MALLAR: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 arasında kanuni mal rejimi olan "edinilmiş mallara katılma rejimi" geçerlidir. Evlilik birliği içerisinde, karşılıklı emek ve maddi katkılarla edinilen ve şu an davalı adına kayıtlı bulunan malvarlığı değerleri aşağıdadır: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Taşınmaz:</w:t>
      </w:r>
      <w:r w:rsidDel="00000000" w:rsidR="00000000" w:rsidRPr="00000000">
        <w:rPr>
          <w:rFonts w:ascii="Google Sans" w:cs="Google Sans" w:eastAsia="Google Sans" w:hAnsi="Google Sans"/>
          <w:color w:val="1f1f1f"/>
          <w:rtl w:val="0"/>
        </w:rPr>
        <w:t xml:space="preserve"> [İl, İlçe, Mahalle, Ada, Parsel] bilgilerine sahip, [Adres] adresinde bulunan taşınmaz.</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Araç:</w:t>
      </w:r>
      <w:r w:rsidDel="00000000" w:rsidR="00000000" w:rsidRPr="00000000">
        <w:rPr>
          <w:rFonts w:ascii="Google Sans" w:cs="Google Sans" w:eastAsia="Google Sans" w:hAnsi="Google Sans"/>
          <w:color w:val="1f1f1f"/>
          <w:rtl w:val="0"/>
        </w:rPr>
        <w:t xml:space="preserve"> [Plaka] plakalı, [Marka/Model] marka araç.</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Banka Hesapları:</w:t>
      </w:r>
      <w:r w:rsidDel="00000000" w:rsidR="00000000" w:rsidRPr="00000000">
        <w:rPr>
          <w:rFonts w:ascii="Google Sans" w:cs="Google Sans" w:eastAsia="Google Sans" w:hAnsi="Google Sans"/>
          <w:color w:val="1f1f1f"/>
          <w:rtl w:val="0"/>
        </w:rPr>
        <w:t xml:space="preserve"> Davalı adına [Banka Adı] ve diğer bankalarda bulunan hesaplardaki nakdi birikimler ile hisse senedi, fon ve benzeri yatırımlar.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Diğer:</w:t>
      </w:r>
      <w:r w:rsidDel="00000000" w:rsidR="00000000" w:rsidRPr="00000000">
        <w:rPr>
          <w:rFonts w:ascii="Google Sans" w:cs="Google Sans" w:eastAsia="Google Sans" w:hAnsi="Google Sans"/>
          <w:color w:val="1f1f1f"/>
          <w:rtl w:val="0"/>
        </w:rPr>
        <w:t xml:space="preserve"> [Varsa şirket hissesi, kooperatif hissesi, kripto varlık vb. diğer malvarlığı değerleri]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KATILMA ALACAĞI VE DEĞER ARTIŞ PAYI TALEPLERİMİZ: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evlilik birliği süresince hem çalışarak maddi gelir elde etmiş hem de evin idaresini sağlayarak üstün bir çaba göstermiştir. Davalı adına kayıtlı yukarıda sayılan malvarlıklarının edinilmesinde, iyileştirilmesinde ve korunmasında müvekkilin ciddi maddi katkısı (kişisel mallarından aktarım, ziynet eşyalarının bozdurulması vb.) bulunmaktadır. TMK m. 227 gereği değer artış payı alacağımızın ve TMK m. 231 ve devamı maddeleri gereği artık değerin yarısı oranındaki katılma alacağımızın hesaplanarak tarafımıza ödenmesi gerekmektedir.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İHTİYATİ TEDBİR TALEBİMİZ: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Davalının, müvekkilin katılma alacağı ve değer artış payı haklarını semeresiz bırakmak maksadıyla malvarlığı değerlerini üçüncü kişilere devretme, gizleme veya tüketme ihtimali kuvvetle muhtemeldir. Bu nedenle, öncelikle sayılan taşınmaz, araç, banka hesapları ve tespit edilecek diğer malvarlıkları üzerine teminatsız olarak, üçüncü kişilere devir ve temlikinin önlenmesi amacıyla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konulmasını talep etme zorunluluğu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BELİRSİZ ALACAK DAVASI: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malvarlıklarının güncel sürüm değerleri, müvekkilin alacak miktarı ve mal rejiminin tasfiyesine ilişkin kesin hesaplamalar ancak yapılacak bilirkişi incelemesi neticesinde tam ve kesin olarak belirlenebilecektir. Bu sebeple işbu dava, 6100 Sayılı HMK m. 107 uyarınca "belirsiz alacak davası" olarak ikame edilmiştir.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4721 S. TMK (m. 202, 219, 225, 227, 231 ve vd.), 6100 S. HMK m. 107, 389 ve ilgili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(Karşı tarafın delillerine karşı delil sunma hakkımız saklı kalmak kaydıyla)</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 (Celbi talep olunur)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[Mahkeme Adı] Mahkemesi'nin [Esas No] Esas sayılı boşanma dava dosyası, (Celbi talep olunur)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İlgili Tapu Sicil Müdürlüğü kayıtları, (Celbi talep olunur)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İlgili Trafik Tescil Şube Müdürlüğü kayıtları, (Celbi talep olunur)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Banka kayıtları, hesap hareketleri ve dekontlar, (Celbi talep olunur)</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SGK kayıtları ve gelir durumu belgeleri,</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anlatımları, (İsim ve adresleri bilahare bildirilecektir)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keşif, yemin ve her türlü yasal delil.</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açıklanan ve Mahkemenizce resen dikkate alınacak nedenlerle;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Öncelikle davalının mal kaçırmasını önlemek amacıyla, davalı adına kayıtlı olan [Plaka] plakalı araç, [Tapu Bilgileri] olan taşınmaz ve davalının tespit edilecek banka hesapları ile diğer malvarlıkları üzerine teminatsız olarak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 taraflar arasındaki mal rejiminin tasfiyesine,</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edinilmiş mallara katılma alacağı, değer artış payı ve katkı payı alacaklarının (fazlaya ilişkin talep ve dava hakkımız saklı kalmak kaydıyla şimdilik [Miktar] TL kısmının), tasfiye / karar tarihinden itibaren işleyecek yasal faiziyle birlikte davalıdan alınarak müvekkile ödenmesine,</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tarafa yükletilmesine,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Tapu/Ruhsat/Dekont Fotokopileri</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[Boşanma Davası Tensip/Karar Tutanağı]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