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TİCARİ MAL ALIM-SATIM SÖZLEŞMESİ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 TARAFLAR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1.1. SATICI: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[Şirketin Tam Ticari Unvanı] (Ticaret Sicil No: [.......] - VKN: [.......])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[Şirket Merkez Adresi]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1.2. ALICI: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[Şirketin Tam Ticari Unvanı] (Ticaret Sicil No: [.......] - VKN: [.......])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[Şirket Merkez Adresi]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 SÖZLEŞMENİN KONUSU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2.1.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İşbu sözleşmenin konusu, Satıcı’nın stoklarında bulunan veya üreteceği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[Malın Cinsi, Nevi ve Teknik Özellikleri]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emtianın, Alıcı tarafından satın alınması ve bedelinin ödenmesine ilişkin tarafların hak ve yükümlülüklerinin belirlenmesidir.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 MALIN MİKTARI VE BİRİM FİYATI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2340"/>
        <w:gridCol w:w="2340"/>
        <w:gridCol w:w="2340"/>
        <w:gridCol w:w="2340"/>
        <w:tblGridChange w:id="0">
          <w:tblGrid>
            <w:gridCol w:w="2340"/>
            <w:gridCol w:w="2340"/>
            <w:gridCol w:w="2340"/>
            <w:gridCol w:w="234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rtl w:val="0"/>
              </w:rPr>
              <w:t xml:space="preserve">MALIN CİNSİ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rtl w:val="0"/>
              </w:rPr>
              <w:t xml:space="preserve">MİKTARI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rtl w:val="0"/>
              </w:rPr>
              <w:t xml:space="preserve">BİRİM FİYATI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rtl w:val="0"/>
              </w:rPr>
              <w:t xml:space="preserve">TOPLAM TUTAR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rtl w:val="0"/>
              </w:rPr>
              <w:t xml:space="preserve">[Emtia Adı]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rtl w:val="0"/>
              </w:rPr>
              <w:t xml:space="preserve">[Adet/Metre/Ton]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rtl w:val="0"/>
              </w:rPr>
              <w:t xml:space="preserve">[Fiyat] TL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240.0" w:type="dxa"/>
              <w:left w:w="0.0" w:type="dxa"/>
              <w:bottom w:w="24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240" w:line="275.9999942779541" w:lineRule="auto"/>
              <w:rPr>
                <w:rFonts w:ascii="Google Sans" w:cs="Google Sans" w:eastAsia="Google Sans" w:hAnsi="Google Sans"/>
                <w:color w:val="1f1f1f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rtl w:val="0"/>
              </w:rPr>
              <w:t xml:space="preserve">[Toplam] TL</w:t>
            </w:r>
          </w:p>
        </w:tc>
      </w:tr>
    </w:tbl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48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3.1.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Toplam sözleşme bedeli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[Rakamla] TL ([Yazıyla] Türk Lirası) + KDV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'dir.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 TESLİMAT ŞARTLARI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4.1. Teslim Yeri: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Mallar,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[Alıcı’nın Deposu / Satıcı’nın Fabrikası / Belirlenen Adres]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teslim edilecektir.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4.2. Teslim Süresi: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Satıcı, malları en geç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[Gün/Ay/Yıl]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tarihine kadar teslim etmeyi taahhüt eder.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4.3. Nakliye ve Sigorta: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Nakliye, sigorta ve hamaliye masrafları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[Satıcı / Alıcı]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tarafına aittir.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5. ÖDEME ŞARTLARI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5.1.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Alıcı, mal bedelini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[Örn: Teslim tarihinde nakden / Faturalandırma tarihinden itibaren 30 gün sonra / Belirlenen banka hesabına]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ödeyecektir.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5.2.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Geciken ödemelerde, temerrüt tarihinden itibaren aylık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% [Oran]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oranında ticari avans faizi uygulanacaktır.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6. MUAYENE VE AYIP İHBARI (TTK m. 23)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6.1. Muayene Yükümlülüğü: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Alıcı, malları teslim aldığı tarihten itibaren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 (iki)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gün içinde açık ayıplar yönünden; herhalde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8 (sekiz)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gün içinde ise gizli ayıplar yönünden muayene etmekle yükümlüdür.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6.2. İhbar Şekli: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Ayıp ihbarı, TTK m. 18/3 uyarınca noter aracılığıyla, taahhütlü mektupla veya kayıtlı elektronik posta (KEP) sistemi ile yapılmalıdır. Süresinde ihbar edilmeyen ayıplar için Satıcı’nın sorumluluğu sona erer.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7. MÜCBİR SEBEPLER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7.1.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Savaş, doğal afet, grev, ambargo gibi tarafların kontrolü dışında gelişen ve edimin ifasını imkânsız kılan hallerde, etkilenen taraf bu durumu derhal karşı tarafa bildirmekle yükümlüdür. Mücbir sebep süresince sözleşme askıya alınır.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8. CEZAİ ŞART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8.1.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Satıcı, malları süresinde teslim etmediği takdirde gecikilen her gün için sözleşme bedelinin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% [Oran]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tutarında; Alıcı ise haklı bir sebep olmaksızın malı kabulden kaçınırsa toplam bedelin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% [Oran]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tutarında cezai şartı ödemeyi kabul eder.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9. YETKİLİ MAHKEME VE ARABULUCULUK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9.1.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İşbu sözleşmeden doğan uyuşmazlıklarda öncelikle zorunlu ticari arabuluculuk yoluna başvurulacak; anlaşma sağlanamaması halinde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[Şehir Adı]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Asliye Ticaret Mahkemeleri ve İcra Daireleri yetkili olacaktır.</w:t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10. İMZA</w:t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[Tarih] tarihinde iki nüsha olarak taraflarca imza altına alınmıştır.</w:t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SATICI (KAŞE/İMZA)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                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ALICI (KAŞE/İMZA)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