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(İtirazı İncelemeye Yetkili Makama Gönderilmek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[KARARI VEREN NO] SULH CEZA HAKİMLİĞİ'NE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Dava açılmış ve kovuşturma aşamasına geçilmişse başlık ilgili Asliye/Ağır Ceza Mahkemesi olarak değiştirilmelidir.)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SORUŞTURMA NO :</w:t>
      </w:r>
      <w:r w:rsidDel="00000000" w:rsidR="00000000" w:rsidRPr="00000000">
        <w:rPr>
          <w:rFonts w:ascii="Google Sans" w:cs="Google Sans" w:eastAsia="Google Sans" w:hAnsi="Google Sans"/>
          <w:color w:val="1f1f1f"/>
          <w:rtl w:val="0"/>
        </w:rPr>
        <w:t xml:space="preserve"> 202... / ....... Soruşturma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SORGU NO :</w:t>
      </w:r>
      <w:r w:rsidDel="00000000" w:rsidR="00000000" w:rsidRPr="00000000">
        <w:rPr>
          <w:rFonts w:ascii="Google Sans" w:cs="Google Sans" w:eastAsia="Google Sans" w:hAnsi="Google Sans"/>
          <w:color w:val="1f1f1f"/>
          <w:rtl w:val="0"/>
        </w:rPr>
        <w:t xml:space="preserve"> 202... / ....... Sorgu</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TUTUKLAMAYA İTİRAZ EDEN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ŞÜPHELİ (VEYA 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TUTUKLU BULUNDUĞU YER :</w:t>
      </w:r>
      <w:r w:rsidDel="00000000" w:rsidR="00000000" w:rsidRPr="00000000">
        <w:rPr>
          <w:rFonts w:ascii="Google Sans" w:cs="Google Sans" w:eastAsia="Google Sans" w:hAnsi="Google Sans"/>
          <w:color w:val="1f1f1f"/>
          <w:rtl w:val="0"/>
        </w:rPr>
        <w:t xml:space="preserve"> [Cezaevi Adı, Örn: ... L Tipi Kapalı Ceza İnfaz Kurumu]</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TUTUKLAMA KARARI VEREN :</w:t>
      </w:r>
      <w:r w:rsidDel="00000000" w:rsidR="00000000" w:rsidRPr="00000000">
        <w:rPr>
          <w:rFonts w:ascii="Google Sans" w:cs="Google Sans" w:eastAsia="Google Sans" w:hAnsi="Google Sans"/>
          <w:color w:val="1f1f1f"/>
          <w:rtl w:val="0"/>
        </w:rPr>
        <w:t xml:space="preserve"> [İl/İlçe Adı] [No] Sulh Ceza Hakimliği </w:t>
      </w:r>
      <w:r w:rsidDel="00000000" w:rsidR="00000000" w:rsidRPr="00000000">
        <w:rPr>
          <w:rFonts w:ascii="Google Sans" w:cs="Google Sans" w:eastAsia="Google Sans" w:hAnsi="Google Sans"/>
          <w:i w:val="1"/>
          <w:iCs w:val="1"/>
          <w:color w:val="1f1f1f"/>
          <w:rtl w:val="0"/>
        </w:rPr>
        <w:t xml:space="preserve">(veya ilgili Mahkeme)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TARİHİ :</w:t>
      </w:r>
      <w:r w:rsidDel="00000000" w:rsidR="00000000" w:rsidRPr="00000000">
        <w:rPr>
          <w:rFonts w:ascii="Google Sans" w:cs="Google Sans" w:eastAsia="Google Sans" w:hAnsi="Google Sans"/>
          <w:color w:val="1f1f1f"/>
          <w:rtl w:val="0"/>
        </w:rPr>
        <w:t xml:space="preserve"> [Tutuklama Kararının Verildiği Tarih]</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[İl/İlçe Adı] [No] Sulh Ceza Hakimliği'nin [Karar Tarihi] tarih ve [Sorgu Yılı]/[Sorgu No] Sorgu sayılı haksız ve hukuka aykırı </w:t>
      </w:r>
      <w:r w:rsidDel="00000000" w:rsidR="00000000" w:rsidRPr="00000000">
        <w:rPr>
          <w:rFonts w:ascii="Google Sans" w:cs="Google Sans" w:eastAsia="Google Sans" w:hAnsi="Google Sans"/>
          <w:b w:val="1"/>
          <w:bCs w:val="1"/>
          <w:color w:val="1f1f1f"/>
          <w:rtl w:val="0"/>
        </w:rPr>
        <w:t xml:space="preserve">TUTUKLAMA KARARINA İTİRAZLARIMIZIN KABULÜ İLE</w:t>
      </w:r>
      <w:r w:rsidDel="00000000" w:rsidR="00000000" w:rsidRPr="00000000">
        <w:rPr>
          <w:rFonts w:ascii="Google Sans" w:cs="Google Sans" w:eastAsia="Google Sans" w:hAnsi="Google Sans"/>
          <w:color w:val="1f1f1f"/>
          <w:rtl w:val="0"/>
        </w:rPr>
        <w:t xml:space="preserve">, şüphelinin/müvekkilin derhal </w:t>
      </w:r>
      <w:r w:rsidDel="00000000" w:rsidR="00000000" w:rsidRPr="00000000">
        <w:rPr>
          <w:rFonts w:ascii="Google Sans" w:cs="Google Sans" w:eastAsia="Google Sans" w:hAnsi="Google Sans"/>
          <w:b w:val="1"/>
          <w:bCs w:val="1"/>
          <w:color w:val="1f1f1f"/>
          <w:rtl w:val="0"/>
        </w:rPr>
        <w:t xml:space="preserve">BİHAKKIN TAHLİYESİNE</w:t>
      </w:r>
      <w:r w:rsidDel="00000000" w:rsidR="00000000" w:rsidRPr="00000000">
        <w:rPr>
          <w:rFonts w:ascii="Google Sans" w:cs="Google Sans" w:eastAsia="Google Sans" w:hAnsi="Google Sans"/>
          <w:color w:val="1f1f1f"/>
          <w:rtl w:val="0"/>
        </w:rPr>
        <w:t xml:space="preserve">, Hakimliğiniz (veya itiraz mercii) aksi kanaatte ise 5271 sayılı CMK'nın 109. maddesi gereğince lehe olan </w:t>
      </w:r>
      <w:r w:rsidDel="00000000" w:rsidR="00000000" w:rsidRPr="00000000">
        <w:rPr>
          <w:rFonts w:ascii="Google Sans" w:cs="Google Sans" w:eastAsia="Google Sans" w:hAnsi="Google Sans"/>
          <w:b w:val="1"/>
          <w:bCs w:val="1"/>
          <w:color w:val="1f1f1f"/>
          <w:rtl w:val="0"/>
        </w:rPr>
        <w:t xml:space="preserve">ADLİ KONTROL HÜKÜMLERİNİN UYGULANARAK TAHLİYESİNE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TUTUKLAMA KARARI USUL, YASA VE AİHS HÜKÜMLERİNE AYKIRIDIR: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Müvekkil/Şüpheli hakkında [İl/İlçe Adı] Cumhuriyet Başsavcılığı'nca yürütülen soruşturma kapsamında, [İl/İlçe Adı] [No] Sulh Ceza Hakimliği tarafından [Karar Tarihi] tarihinde haksız, ölçüsüz ve yasal dayanaktan yoksun bir şekilde tutuklama kararı verilmiştir. Verilen bu karar, 5271 sayılı Ceza Muhakemesi Kanunu'nun (CMK) 100. maddesinde tahdidi (sınırlı) olarak sayılan tutuklama şartlarını taşımamakta olup, Anayasa'nın 19. maddesi ile Avrupa İnsan Hakları Sözleşmesi'nin (AİHS) 5. maddesinde güvence altına alınan "Kişi Hürriyeti ve Güvenliği" hakkının açık bir ihlalidir.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KUVVETLİ SUÇ ŞÜPHESİNİ GÖSTEREN SOMUT DELİLLER BULUNMAMAKTADIR: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CMK md. 100/1 uyarınca tutuklama kararı verilebilmesi için "Kuvvetli suç şüphesinin varlığını gösteren somut delillerin" bulunması zorunludur. Ancak soruşturma dosyası incelendiğinde, müvekkilin üzerine atılı [Suçun Adı, Örn: Dolandırıcılık, Kasten Yaralama vb.] suçunu işlediğine dair her türlü şüpheden uzak, kesin ve inandırıcı hiçbir somut delil bulunmamaktadır. Karar, tamamen varsayımlara, soyut iddialara ve [varsa: husumetli müşteki/tanık beyanlarına] dayandırılmıştır. Suçun unsurlarının oluşmadığı bu aşamada açıkça ortadayken, en ağır koruma tedbiri olan tutuklamaya hükmedilmesi hukuka aykırıdır.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KAÇMA VE DELİLLERİ KARARTMA ŞÜPHESİ YOKTUR (TUTUKLAMA NEDENLERİNİN YOKLUĞU):</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kaçma veya saklanma şüphesini uyandıracak hiçbir somut olgu mevcut değildir. Zira müvekkil, sabit ikametgah sahibi olup adresi, işyeri ve aile yaşantısı bellidir. [Varsa somut durumlar yazılmalıdır: Evli ve ... çocuk babasıdır / ... yıldır aynı adreste ikamet etmektedir / Düzenli bir işi vardır / Kendi rızasıyla ifade vermeye gelmiştir.]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Ayrıca, CMK md. 100/2-b bendi uyarınca "delilleri yok etme, gizleme veya değiştirme" ya da "tanık, mağdur veya başkaları üzerinde baskı yapılması girişiminde bulunma" hususlarında müvekkile atfedilebilecek hiçbir eylem yoktur. Dosya kapsamındaki tüm deliller (kamera kayıtları, HTS, evraklar vb.) halihazırda adli makamlarca toplanmış ve muhafaza altına alınmıştır. Müvekkilin serbest kalması halinde karartabileceği herhangi bir delil kalmamıştır.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TUTUKLAMA TEDBİRİ ÖLÇÜSÜZDÜR / ADLİ KONTROL KURUMLARI YETERLİDİR: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muhakemesinde tutuklama bir ceza değil, bir "koruma tedbiri"dir ve kural değil, istisnadır. Anayasa'nın 13. ve CMK'nın 100. maddeleri gereğince, koruma tedbirlerinin "ölçülülük" ilkesine uygun olması esastır. İşin önemi, verilmesi beklenen ceza veya güvenlik tedbiri ile ölçülü olmaması halinde tutuklama kararı verilemez.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Şüphelinin/Müvekkilin üzerine atılı suçun niteliği, kanunda öngörülen cezanın alt ve üst sınırları, ileride lehine uygulanabilecek indirim nedenleri (takdiri indirim, haksız tahrik vb.) ve (varsa) sabıkasız geçmişi göz önüne alındığında, tutuklama tedbiri son derece ağır ve ölçüsüzdür. Beklenen gayeye CMK'nın 109. maddesinde düzenlenen "Adli Kontrol" hükümleriyle (Yurtdışına çıkış yasağı, imza yükümlülüğü vb.) de ulaşılabilecektir. Adli kontrol tedbirleri hiç değerlendirilmeden, doğrudan tutuklamaya hükmedilmesi usul ve yasaya aykırıdır.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KİŞİSEL, AİLEVİ VE SAĞLIK DURUMU:</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[Bu kısma şüphelinin özel durumu yazılmalıdır. Örn: Müvekkilin bakmakla yükümlü olduğu yaşlı anne/babası, küçük çocukları vardır. Kendisinin ... şeklinde kronik bir rahatsızlığı bulunmakta olup, cezaevi koşulları sağlığı açısından telafisi imkansız zararlar doğuracaktır.]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AİHS, 5271 Sayılı CMK (m. 100, 101, 104, 109, 267 vd.), 5237 Sayılı TCK ve ilgili sair mevzuat.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sayın Hakimliğinizce/Mahkemenizce re'sen gözetilecek nedenlerle;</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itirazlarımızın </w:t>
      </w:r>
      <w:r w:rsidDel="00000000" w:rsidR="00000000" w:rsidRPr="00000000">
        <w:rPr>
          <w:rFonts w:ascii="Google Sans" w:cs="Google Sans" w:eastAsia="Google Sans" w:hAnsi="Google Sans"/>
          <w:b w:val="1"/>
          <w:bCs w:val="1"/>
          <w:color w:val="1f1f1f"/>
          <w:rtl w:val="0"/>
        </w:rPr>
        <w:t xml:space="preserve">KABULÜ</w:t>
      </w:r>
      <w:r w:rsidDel="00000000" w:rsidR="00000000" w:rsidRPr="00000000">
        <w:rPr>
          <w:rFonts w:ascii="Google Sans" w:cs="Google Sans" w:eastAsia="Google Sans" w:hAnsi="Google Sans"/>
          <w:color w:val="1f1f1f"/>
          <w:rtl w:val="0"/>
        </w:rPr>
        <w:t xml:space="preserve"> ile, [İl/İlçe Adı] [No] Sulh Ceza Hakimliği'nin [Karar Tarihi] tarihli </w:t>
      </w:r>
      <w:r w:rsidDel="00000000" w:rsidR="00000000" w:rsidRPr="00000000">
        <w:rPr>
          <w:rFonts w:ascii="Google Sans" w:cs="Google Sans" w:eastAsia="Google Sans" w:hAnsi="Google Sans"/>
          <w:b w:val="1"/>
          <w:bCs w:val="1"/>
          <w:color w:val="1f1f1f"/>
          <w:rtl w:val="0"/>
        </w:rPr>
        <w:t xml:space="preserve">TUTUKLAMA KARARININ KALDIRILMASINA</w:t>
      </w:r>
      <w:r w:rsidDel="00000000" w:rsidR="00000000" w:rsidRPr="00000000">
        <w:rPr>
          <w:rFonts w:ascii="Google Sans" w:cs="Google Sans" w:eastAsia="Google Sans" w:hAnsi="Google Sans"/>
          <w:color w:val="1f1f1f"/>
          <w:rtl w:val="0"/>
        </w:rPr>
        <w:t xml:space="preserve"> ve şüphelinin/müvekkilin derhal </w:t>
      </w:r>
      <w:r w:rsidDel="00000000" w:rsidR="00000000" w:rsidRPr="00000000">
        <w:rPr>
          <w:rFonts w:ascii="Google Sans" w:cs="Google Sans" w:eastAsia="Google Sans" w:hAnsi="Google Sans"/>
          <w:b w:val="1"/>
          <w:bCs w:val="1"/>
          <w:color w:val="1f1f1f"/>
          <w:rtl w:val="0"/>
        </w:rPr>
        <w:t xml:space="preserve">BİHAKKIN TAHLİYESİNE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Hakimliğiniz (veya itirazı inceleyecek merci) aksi kanaatte ise, 5271 sayılı CMK'nın 109. ve devamı maddeleri gereğince uygun görülecek </w:t>
      </w:r>
      <w:r w:rsidDel="00000000" w:rsidR="00000000" w:rsidRPr="00000000">
        <w:rPr>
          <w:rFonts w:ascii="Google Sans" w:cs="Google Sans" w:eastAsia="Google Sans" w:hAnsi="Google Sans"/>
          <w:b w:val="1"/>
          <w:bCs w:val="1"/>
          <w:color w:val="1f1f1f"/>
          <w:rtl w:val="0"/>
        </w:rPr>
        <w:t xml:space="preserve">ADLİ KONTROL HÜKÜMLERİNDEN</w:t>
      </w:r>
      <w:r w:rsidDel="00000000" w:rsidR="00000000" w:rsidRPr="00000000">
        <w:rPr>
          <w:rFonts w:ascii="Google Sans" w:cs="Google Sans" w:eastAsia="Google Sans" w:hAnsi="Google Sans"/>
          <w:color w:val="1f1f1f"/>
          <w:rtl w:val="0"/>
        </w:rPr>
        <w:t xml:space="preserve"> (Yurtdışına çıkış yasağı, imza atma vb.) bir veya birkaçının uygulanarak şüphelinin/müvekkilin </w:t>
      </w:r>
      <w:r w:rsidDel="00000000" w:rsidR="00000000" w:rsidRPr="00000000">
        <w:rPr>
          <w:rFonts w:ascii="Google Sans" w:cs="Google Sans" w:eastAsia="Google Sans" w:hAnsi="Google Sans"/>
          <w:b w:val="1"/>
          <w:bCs w:val="1"/>
          <w:color w:val="1f1f1f"/>
          <w:rtl w:val="0"/>
        </w:rPr>
        <w:t xml:space="preserve">TAHLİYESİNE</w:t>
      </w:r>
      <w:r w:rsidDel="00000000" w:rsidR="00000000" w:rsidRPr="00000000">
        <w:rPr>
          <w:rFonts w:ascii="Google Sans" w:cs="Google Sans" w:eastAsia="Google Sans" w:hAnsi="Google Sans"/>
          <w:color w:val="1f1f1f"/>
          <w:rtl w:val="0"/>
        </w:rPr>
        <w:t xml:space="preserve"> karar verilmesini saygıyla ve vekaleten/asaleten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ŞÜPHELİ/SANIK (Veya MÜDAFİİ)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Müvekkilin ikametgah belgesi, aile nüfus kayıt örneği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Sağlık raporları, işyeri belgeleri veya delil niteliğindeki evraklar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